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155</w:t>
      </w:r>
    </w:p>
    <w:p>
      <w:r>
        <w:t>Bundesgericht (BGE), 2014-01-01, DE</w:t>
      </w:r>
    </w:p>
    <w:p>
      <w:r>
        <w:rPr>
          <w:b/>
        </w:rPr>
        <w:t xml:space="preserve">Quelle: </w:t>
      </w:r>
      <w:r>
        <w:t>https://mcp.opencaselaw.ch/entscheid/bge_140 IV 155</w:t>
      </w:r>
    </w:p>
    <w:p>
      <w:r>
        <w:t>FR: ATF 140 IV 155</w:t>
      </w:r>
    </w:p>
    <w:p>
      <w:r>
        <w:t>IT: DTF 140 IV 155</w:t>
      </w:r>
    </w:p>
    <w:p>
      <w:pPr>
        <w:pStyle w:val="Heading2"/>
      </w:pPr>
      <w:r>
        <w:t>Regeste</w:t>
      </w:r>
    </w:p>
    <w:p>
      <w:r>
        <w:t>Regeste Art. 115 Abs. 1 StPO, Art. 260 SchKG; Begriff des Geschädigten. In seinen Rechten unmittelbar verletzt im Sinne von Art. 115 Abs. 1 StPO ist, wer Träger des durch die verletzte Strafnorm geschützten oder zumindest mitgeschützten Rechtsguts ist (Bestätigung der Rechtsprechung; E. 3.2). Bei Vermögensdelikten zum Nachteil einer Aktiengesellschaft sind weder die Aktionäre noch die Gesellschaftsgläubiger unmittelbar verletzt (E. 3.3.1). Geschädigtenstellung bei Konkursdelikten (E. 3.3.2) und Urkundendelikten (Bestätigung der Rechtsprechung; E. 3.3.3). Die Abtretung nach Art. 260 SchKG hat nicht zur Folge, dass die Geschädigtenstellung des Gemeinschuldners auf den Abtretungsgläubiger übergeht. Der Abtretungsgläubiger handelt nicht für den Gemeinschuldner, sondern in eigenem Namen. Er ist nur geschädigt im Sinne von Art. 115 Abs. 1 StPO, wenn er selber unmittelbar in seinen Rechten verletzt ist (E. 3.4).</w:t>
      </w:r>
    </w:p>
    <w:p>
      <w:pPr>
        <w:pStyle w:val="Heading2"/>
      </w:pPr>
      <w:r>
        <w:t>Erwägungen</w:t>
      </w:r>
    </w:p>
    <w:p>
      <w:r>
        <w:rPr>
          <w:b/>
        </w:rPr>
        <w:t>E. 3.2</w:t>
      </w:r>
    </w:p>
    <w:p>
      <w:r>
        <w:t>Jede Partei, die ein rechtlich geschütztes Interesse an der Aufhebung oder Änderung eines Entscheids hat, kann ein Rechtsmittel ergreifen ( Art. 382 Abs. 1 StPO ). Partei ist namentlich die Privatklägerschaft ( Art. 104 Abs. 1 lit. b StPO ). Als Privatklägerschaft gilt die geschädigte Person, die ausdrücklich erklärt, sich am Strafverfahren im Straf- oder Zivilpunkt zu beteiligen ( Art. 118 Abs. 1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BGE 140 IV 155 S. 158 Individualrechtsgüter schützen, gelten praxisgemäss nur diejenigen Personen als Geschädigte, die durch die darin umschriebenen Tatbestände in ihren Rechten beeinträchtigt werden, sofern diese Beeinträchtigung unmitelbare Folge der tatbestandsmässigen Handlung ist ( BGE 139 IV 78 E. 3.3.3; BGE 138 IV 258 E. 2.2 f.;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138 IV 258 E. 2.3 mit Hinweisen; vgl. NIKLAUS OBERHOLZER, Grundzüge des Strafprozessrechts, 3. Aufl. 2012, Rz. 514 ff.; MAZZUCCHELLI/POSTIZZI, in: Basler Kommentar, Schweizerische Strafprozessordnung, 2011, N. 18 ff. zu Art. 115 StPO ; GÉRARD PIQUEREZ, Traité de procédure pénale suisse, 2. Aufl. 2006, § 70 N. 507; JO PITTELOUD, Code de procédure pénale suisse, Commentaire à l'usage des praticiens, 2012, N. 249 f. zu Art. 115 StPO ).</w:t>
      </w:r>
    </w:p>
    <w:p>
      <w:r>
        <w:rPr>
          <w:b/>
        </w:rPr>
        <w:t>E. 3.3.1</w:t>
      </w:r>
    </w:p>
    <w:p>
      <w:r>
        <w:t>Wie die Vorinstanz zutreffend ausführt, gilt bei Straftaten gegen den Vermögenswert der Inhaber des geschädigten Vermögens als geschädigte Person. Bei Vermögensdelikten zum Nachteil einer Aktiengesellschaft sind weder die Aktionäre noch die Gesellschaftsgläubiger unmittelbar verletzt (vgl. Urteil 6B_680/2013 vom 6. November 2013 E. 3; MAZZUCCHELLI/POSTIZZI, a.a.O., N. 56 zu Art. 115 StPO ; vgl. zur ungetreuen Geschäftsbesorgung OBERHOLZER, a.a.O., Rz. 518). Die Beschwerdeführerinnen als Gläubigerinnen der B. AG sind hinsichtlich der Vorwürfe der Veruntreuung und der ungetreuen Geschäftsbesorgung nicht als Geschädigte im Sinne von Art. 115 Abs. 1 StPO anzusehen.</w:t>
      </w:r>
    </w:p>
    <w:p>
      <w:r>
        <w:rPr>
          <w:b/>
        </w:rPr>
        <w:t>E. 3.3.2</w:t>
      </w:r>
    </w:p>
    <w:p>
      <w:r>
        <w:t>Geschütztes Rechtsgut der Konkursdelikte gemäss Art. 163 ff. StGB ist das Vermögen der Gläubiger des Gemeinschuldners (MAZZUCCHELLI/POSTIZZI, a.a.O., N. 60 zu Art. 115 StPO ). Hinsichtlich des Vorwurfs des mehrfachen betrügerischen Konkurses sowie der Eventualvorwürfe der mehrfachen Gläubigerschädigung durch Vermögensminderung und der Misswirtschaft gelten die Beschwerdeführerinnen, wie die Vorinstanz zutreffend erwägt, als Geschädigte im Sinne von Art. 115 Abs. 1 StPO . BGE 140 IV 155 S. 159</w:t>
      </w:r>
    </w:p>
    <w:p>
      <w:r>
        <w:rPr>
          <w:b/>
        </w:rPr>
        <w:t>E. 3.3.3</w:t>
      </w:r>
    </w:p>
    <w:p>
      <w:r>
        <w:t>Urkundendelikte schützen in erster Linie die Allgemeinheit. Geschütztes Rechtsgut ist das besondere Vertrauen, welches im Rechtsverkehr einer Urkunde als Beweismittel entgegengebracht wird ( BGE 137 IV 167 E. 2.3.1 mit Hinweisen). Daneben können auch private Interessen unmittelbar verletzt werden, falls die Urkundenfälschung auf die Benachteiligung einer bestimmten Person abzielt ( BGE 119 Ia 342 E. 2b; Urteil 6B_496/2012 vom 18. April 2013 E. 5.2; je mit Hinweisen; OBERHOLZER, a.a.O., Rz. 517; MAZZUCCHELLI/POSTIZZI, a.a.O., N. 73 zu Art. 115 StPO ; CAMILLE PERRIER, in: Commentaire romand, Code de procédure pénale suisse, 2011, N. 11 zu Art. 115 StPO ; PIQUEREZ, a.a.O., § 70 N. 507 S. 330). Die Vorinstanz stellt fest, die Staatsanwaltschaft werfe dem Beschwerdegegner 2 vor, im Kaufvertrag zwischen der B. AG und der C. AG den massgebenden Wert der Warenvorräte falsch angegeben zu haben. Der im Vertrag festgehaltene Warenwert von Fr. 800'000.- habe unter dem effektiven Lagerwert von mindestens 2,2 Mio. Fr. gelegen. Gemäss Anklagesachverhalt habe die Urkundenfälschung auf die Benachteiligung der B. AG abgezielt. Die Vorinstanz erwägt zutreffend, die Beschwerdeführerinnen seien nicht unmittelbar in ihren Rechten verletzt, weil die dem Beschwerdegegner 2 vorgeworfene Urkundenfälschung nicht ihre, sondern die Rechtsgüter der B. AG beeinträchtigt.</w:t>
      </w:r>
    </w:p>
    <w:p>
      <w:r>
        <w:rPr>
          <w:b/>
        </w:rPr>
        <w:t>E. 3.4.1</w:t>
      </w:r>
    </w:p>
    <w:p>
      <w:r>
        <w:t>Die Beschwerdeführerinnen rügen, als Abtretungsgläubigerinnen nach Art. 260 SchKG seien sie im Strafverfahren gegen ehemalige Organe der B. AG zur adhäsionsweisen Geltendmachung der abgetretenen Ansprüche zuzulassen. Die Vorinstanzen hätten die Natur der Abtretung nach Art. 260 SchKG verkannt, was zu einem Widerspruch in der Rechtsordnung führe und sich kontraproduktiv auf die Abwicklung von Gesellschaftskonkursen auswirke. Sie machen geltend, die Lehrmeinung von MAZZUCCHELLI und POSTIZZI, auf welche sich die Vorinstanz stütze, sei nicht herrschend, und berufen sich im Übrigen auf einen Entscheid des Kassationsgerichts des Kantons Zürich.</w:t>
      </w:r>
    </w:p>
    <w:p>
      <w:r>
        <w:rPr>
          <w:b/>
        </w:rPr>
        <w:t>E. 3.4.2</w:t>
      </w:r>
    </w:p>
    <w:p>
      <w:r>
        <w:t>MAZZUCCHELLI und POSTIZZI führen aus, die Rechtsnachfolger der unmittelbar verletzten Person seien bloss mittelbar verletzt. So sei zum Beispiel der Zessionar gemäss Art. 164 ff. OR einer aus der Straftat abgeleiteten Schadenersatzforderung nicht geschädigt im Sinne von Art. 115 Abs. 1 StPO und dürfe sich somit nicht als BGE 140 IV 155 S. 160 Privatkläger konstituieren. Er sei vom Strafverfahren ausgeschlossen und zur Geltendmachung der abgetretenen Forderung auf den Zivilweg verwiesen. Geschädigte Person bleibe der Zedent, soweit er Träger des angegriffenen Rechtsguts sei. Umso weniger sei der Abtretungsgläubiger gemäss Art. 260 SchKG geschädigte Person gemäss Art. 115 Abs. 1 StPO . Ihm werde bloss die Prozessführungsmacht der Konkursmasse abgetreten. Diese bleibe Rechtsträgerin des materiellen Anspruchs, bis die Gemeinschuldnerin aus dem Handelsregister gelöscht werde. Der Abtretungsgläubiger könne somit die entsprechende Forderung lediglich in einem ordentlichen Zivilprozess geltend machen (MAZZUCCHELLI/POSTIZZI, a.a.O., N. 26 zu Art. 115 StPO ).</w:t>
      </w:r>
    </w:p>
    <w:p>
      <w:r>
        <w:rPr>
          <w:b/>
        </w:rPr>
        <w:t>E. 3.4.3</w:t>
      </w:r>
    </w:p>
    <w:p>
      <w:r>
        <w:t>Das Kassationsgericht des Kantons Zürich erwog mit Entscheid vom 5. August 2004, der Abtretungsgläubiger gemäss Art. 260 SchKG sei im zürcherischen Strafprozess zur Adhäsionsklage legitimiert. Neben dem unmittelbar Geschädigten seien auch seine Erben sowie Versicherungsgesellschaften, welche gemäss Art. 72 VVG (SR 221.229.1) in seine Rechte eingetreten seien, zur Adhäsionsklage legitimiert. Die Legitimation der Erben und Versicherungsgesellschaften rechtfertige sich durch deren besondere Beziehung zum Geschädigten respektive zu dessen Schadenersatzansprüchen, welche dem blossen Zessionar der Schadenersatzforderung im Sinne von Art. 164 ff. OR abgehe. Der Abtretungsgläubiger gemäss Art. 260 SchKG handle als Prozessstandschafter für die Konkursmasse. Diese bleibe Rechtsträgerin des materiellen Anspruchs, könne aber bis zu einem allfälligen Widerruf der Abtretung nicht mehr darüber verfügen. Da die Eintreibungsbefugnis allein dem Abtretungsgläubiger zukomme, stehe auch er in einer besonderen Beziehung zum ursprünglichen Anspruch des Geschädigten. Entsprechend sei er zur Adhäsionsklage legitimiert, soweit sich der abgetretene Anspruch mit strafbaren Handlungen zum Nachteil des Gemeinschuldners begründen lasse (ZR 104/2005 Nr. 6 S. 14 ff., insbesondere S. 17 E. 4a sowie S. 19 f. E. 4c/cc mit Hinweisen).</w:t>
      </w:r>
    </w:p>
    <w:p>
      <w:r>
        <w:rPr>
          <w:b/>
        </w:rPr>
        <w:t>E. 3.4.4</w:t>
      </w:r>
    </w:p>
    <w:p>
      <w:r>
        <w:t>Nach der Rechtsprechung des Bundesgerichts handelt es sich bei der Abtretung nach Art. 260 SchKG um ein betreibungs- und prozessrechtliches Institut sui generis, die auch als eine Form der Prozessstandschaft bezeichnet wird. Der Abtretungsgläubiger handelt zwar im Prozess in eigenem Namen, auf eigene Rechnung und auf eigenes Risiko, wird durch die Abtretung indes nicht Träger des abgetretenen Anspruchs; abgetreten wird ihm nur das Prozessführungsrecht der Masse ( BGE 138 III 628 E. 5.3.2; BGE 132 III 342 E. 2.2; BGE 121 III 488 E. 2b; BGE 140 IV 155 S. 161 je mit Hinweisen). Wie die Beschwerdeführerinnen zu Recht geltend machen, unterscheidet sich die Abtretung gemäss Art. 260 SchKG grundlegend von der Zession gemäss Art. 164 ff. OR . Die geschädigte juristische Person verliert die Rechtsfähigkeit erst mit ihrer Löschung aus dem Handelsregister. Sie behält die Geschädigtenstellung im Liquidationsstadium bei, und zwar auch dann, wenn dieses durch den Konkurs herbeigeführt worden ist (MAZZUCCHELLI/POSTIZZI, a.a.O., N. 33 zu Art. 115 StPO ). Vertritt die Konkursverwaltung den Gemeinschuldner im Strafprozess, dann handelt sie in dessen Namen und kann alle Rechte geltend machen, welche ihm als geschädigte Person im Sinne von Art. 115 Abs. 1 StPO zustehen. Demgegenüber handelt der Abtretungsgläubiger gemäss Art. 260 SchKG nicht für den Gemeinschuldner, sondern in eigenem Namen. Somit kann er nur so weit tätig werden, als er selber unmittelbar in seinen Rechten verletzt ist. Die Abtretung gemäss Art. 260 SchKG hat nicht zur Folge, dass die Geschädigtenstellung auf ihn übergeht.</w:t>
      </w:r>
    </w:p>
    <w:p>
      <w:r>
        <w:rPr>
          <w:b/>
        </w:rPr>
        <w:t>E. 3.4.5</w:t>
      </w:r>
    </w:p>
    <w:p>
      <w:r>
        <w:t>Art. 121 StPO regelt die strafprozessualen Folgen, wenn die mit der Straftat zusammenhängenden privatrechtlichen Ansprüche auf Personen übergehen, die nicht geschädigt im Sinne von Art. 115 Abs. 1 StPO sind (vgl. dazu Urteil 6B_549/2013 vom 24. Februar 2014 E. 3.2.1). Stirbt die geschädigte Person, ohne auf ihre Verfahrensrechte als Privatklägerschaft verzichtet zu haben, so gehen ihre Rechte auf die Angehörigen in der Reihenfolge der Erbberechtigung über ( Art. 121 Abs. 1 StPO ). Wer von Gesetzes wegen in die Ansprüche der geschädigten Person eintrat, ist nur zur Zivilklage berechtigt und hat lediglich jene Verfahrensrechte, die sich unmittelbar auf deren Durchsetzung beziehen ( Art. 121 Abs. 2 StPO ). Die Rechtsansprüche der Konkursmasse gehen weder rechtsgeschäftlich noch von Gesetzes wegen auf den Abtretungsgläubiger gemäss Art. 260 SchKG über. Er erhält nur das Prozessführungsrecht der Masse. Bereits aus diesem Grund verbietet sich eine analoge Anwendung von Art. 121 StPO (vgl. MAZZUCCHELLI/POSTIZZI, a.a.O., N. 6 zu Art. 121 StPO ; anderer Ansicht LORENZ DROESE, Die Akteneinsicht des Geschädigten in der Strafuntersuchung vor dem Hintergrund zivilprozessualer Informationsinteressen, 2008, S. 28 f.). Es ist auch nicht ersichtlich, dass der Abtretungsgläubiger, weil ihm die Eintreibungsbefugnis alleine zusteht, in einer besonderen Beziehung zum ursprünglichen Anspruch des Geschädigten stehen würde, wie dies das BGE 140 IV 155 S. 162 Kassationsgericht des Kantons Zürich unter der Geltung des kantonalen Strafprozessrechts erwog (vgl. E. 3.4.3). Der Wortlaut von Art. 115 Abs. 1 StPO verlangt ausdrücklich, dass die geschädigte Person in ihren Rechten unmittelbar verletzt worden ist. Der Bundesrat hielt fest, Anknüpfungspunkt sei die unmittelbare Verletzung der rechtlich geschützten Interessen der betreffenden Person (Botschaft vom 21. Dezember 2005 zur Vereinheitlichung des Strafprozessrechts, BBl 2006 1170 Ziff. 2.3.3.1).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